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page" w:horzAnchor="margin" w:tblpY="1566"/>
        <w:tblW w:w="0" w:type="auto"/>
        <w:tblLook w:val="04A0" w:firstRow="1" w:lastRow="0" w:firstColumn="1" w:lastColumn="0" w:noHBand="0" w:noVBand="1"/>
      </w:tblPr>
      <w:tblGrid>
        <w:gridCol w:w="1668"/>
        <w:gridCol w:w="3543"/>
        <w:gridCol w:w="4077"/>
      </w:tblGrid>
      <w:tr w:rsidR="000A2964" w:rsidTr="000A2964">
        <w:trPr>
          <w:trHeight w:val="425"/>
        </w:trPr>
        <w:tc>
          <w:tcPr>
            <w:tcW w:w="92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2964" w:rsidRDefault="000A2964" w:rsidP="000A2964">
            <w:pPr>
              <w:rPr>
                <w:rFonts w:ascii="Arial" w:hAnsi="Arial" w:cs="Arial"/>
                <w:sz w:val="20"/>
                <w:szCs w:val="20"/>
              </w:rPr>
            </w:pPr>
            <w:r w:rsidRPr="000A2964">
              <w:rPr>
                <w:rFonts w:ascii="Arial" w:hAnsi="Arial" w:cs="Arial"/>
                <w:sz w:val="20"/>
                <w:szCs w:val="20"/>
              </w:rPr>
              <w:t>W punkcie 1. „Wymagania minimalne dla jednostki centralnej” wprowadza się następujące zmiany:</w:t>
            </w:r>
          </w:p>
          <w:p w:rsidR="00CD57BC" w:rsidRPr="000A2964" w:rsidRDefault="00CD57BC" w:rsidP="000A29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2DAC" w:rsidTr="00144F11">
        <w:trPr>
          <w:trHeight w:val="425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:rsidR="00AB2DAC" w:rsidRPr="007A44C6" w:rsidRDefault="00AB2DAC" w:rsidP="000A2964">
            <w:pPr>
              <w:pStyle w:val="Nagwek1"/>
              <w:jc w:val="center"/>
              <w:outlineLvl w:val="0"/>
              <w:rPr>
                <w:rFonts w:ascii="Arial" w:hAnsi="Arial" w:cs="Arial"/>
                <w:b/>
                <w:i w:val="0"/>
                <w:color w:val="FFFFFF"/>
                <w:sz w:val="20"/>
              </w:rPr>
            </w:pPr>
            <w:r w:rsidRPr="007A44C6">
              <w:rPr>
                <w:rFonts w:ascii="Arial" w:hAnsi="Arial" w:cs="Arial"/>
                <w:b/>
                <w:i w:val="0"/>
                <w:sz w:val="20"/>
              </w:rPr>
              <w:t>Parametr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</w:tcBorders>
            <w:vAlign w:val="center"/>
          </w:tcPr>
          <w:p w:rsidR="00AB2DAC" w:rsidRDefault="00AB2DAC" w:rsidP="000A2964">
            <w:pPr>
              <w:jc w:val="center"/>
            </w:pPr>
            <w:r w:rsidRPr="007A44C6">
              <w:rPr>
                <w:rFonts w:ascii="Arial" w:hAnsi="Arial" w:cs="Arial"/>
                <w:b/>
                <w:sz w:val="20"/>
              </w:rPr>
              <w:t>Charakterystyka (wymagania minimalne)</w:t>
            </w:r>
          </w:p>
        </w:tc>
      </w:tr>
      <w:tr w:rsidR="00AB2DAC" w:rsidTr="00144F11">
        <w:tc>
          <w:tcPr>
            <w:tcW w:w="1668" w:type="dxa"/>
          </w:tcPr>
          <w:p w:rsidR="00AB2DAC" w:rsidRDefault="00AB2DAC" w:rsidP="000A2964"/>
        </w:tc>
        <w:tc>
          <w:tcPr>
            <w:tcW w:w="3543" w:type="dxa"/>
          </w:tcPr>
          <w:p w:rsidR="00AB2DAC" w:rsidRDefault="00AB2DAC" w:rsidP="000A2964">
            <w:pPr>
              <w:jc w:val="center"/>
            </w:pPr>
            <w:r>
              <w:t>Jest</w:t>
            </w:r>
          </w:p>
        </w:tc>
        <w:tc>
          <w:tcPr>
            <w:tcW w:w="4077" w:type="dxa"/>
          </w:tcPr>
          <w:p w:rsidR="00AB2DAC" w:rsidRDefault="00AB2DAC" w:rsidP="00864B37">
            <w:pPr>
              <w:jc w:val="center"/>
            </w:pPr>
            <w:r>
              <w:t xml:space="preserve">Winno </w:t>
            </w:r>
            <w:r w:rsidR="00864B37">
              <w:t>b</w:t>
            </w:r>
            <w:r>
              <w:t>yć</w:t>
            </w:r>
          </w:p>
        </w:tc>
      </w:tr>
      <w:tr w:rsidR="00AB2DAC" w:rsidTr="00144F11">
        <w:tc>
          <w:tcPr>
            <w:tcW w:w="1668" w:type="dxa"/>
          </w:tcPr>
          <w:p w:rsidR="00AB2DAC" w:rsidRPr="007A44C6" w:rsidRDefault="00AB2DAC" w:rsidP="000A2964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7A44C6">
              <w:rPr>
                <w:rFonts w:ascii="Arial" w:hAnsi="Arial" w:cs="Arial"/>
                <w:b/>
                <w:bCs/>
                <w:sz w:val="20"/>
              </w:rPr>
              <w:t>Wydajność grafiki</w:t>
            </w:r>
          </w:p>
        </w:tc>
        <w:tc>
          <w:tcPr>
            <w:tcW w:w="3543" w:type="dxa"/>
          </w:tcPr>
          <w:p w:rsidR="00AB2DAC" w:rsidRPr="00FC4463" w:rsidRDefault="00AB2DAC" w:rsidP="000A2964">
            <w:pPr>
              <w:rPr>
                <w:rFonts w:ascii="Arial" w:hAnsi="Arial" w:cs="Arial"/>
                <w:sz w:val="20"/>
              </w:rPr>
            </w:pPr>
            <w:r w:rsidRPr="007A44C6">
              <w:rPr>
                <w:rFonts w:ascii="Arial" w:hAnsi="Arial" w:cs="Arial"/>
                <w:bCs/>
                <w:sz w:val="20"/>
              </w:rPr>
              <w:t xml:space="preserve">Karta graficzna </w:t>
            </w:r>
            <w:r>
              <w:rPr>
                <w:rFonts w:ascii="Arial" w:hAnsi="Arial" w:cs="Arial"/>
                <w:sz w:val="20"/>
              </w:rPr>
              <w:t>p</w:t>
            </w:r>
            <w:r w:rsidRPr="007A44C6">
              <w:rPr>
                <w:rFonts w:ascii="Arial" w:hAnsi="Arial" w:cs="Arial"/>
                <w:sz w:val="20"/>
              </w:rPr>
              <w:t xml:space="preserve">owinna  osiągać w teście wydajności Video Benchmark (wynik dostępny: </w:t>
            </w:r>
            <w:r w:rsidRPr="007A44C6">
              <w:rPr>
                <w:rFonts w:ascii="Arial" w:hAnsi="Arial" w:cs="Arial"/>
                <w:color w:val="1F497D"/>
                <w:sz w:val="20"/>
                <w:u w:val="single"/>
              </w:rPr>
              <w:t>http://www.videocardbenchmark.net/</w:t>
            </w:r>
            <w:r w:rsidRPr="007A44C6">
              <w:rPr>
                <w:rFonts w:ascii="Arial" w:hAnsi="Arial" w:cs="Arial"/>
                <w:sz w:val="20"/>
              </w:rPr>
              <w:t xml:space="preserve">) co najmniej wynik </w:t>
            </w:r>
            <w:r w:rsidRPr="00392A66">
              <w:rPr>
                <w:rFonts w:ascii="Arial" w:hAnsi="Arial" w:cs="Arial"/>
                <w:color w:val="000000" w:themeColor="text1"/>
                <w:sz w:val="20"/>
                <w:szCs w:val="15"/>
                <w:shd w:val="clear" w:color="auto" w:fill="FFFFFF"/>
              </w:rPr>
              <w:t>3000</w:t>
            </w:r>
            <w:r w:rsidRPr="00575B0C">
              <w:rPr>
                <w:rFonts w:ascii="Arial" w:hAnsi="Arial" w:cs="Arial"/>
                <w:b/>
                <w:color w:val="FF0000"/>
                <w:sz w:val="20"/>
                <w:szCs w:val="15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6"/>
                <w:shd w:val="clear" w:color="auto" w:fill="FFFFFF"/>
              </w:rPr>
              <w:t>Average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0"/>
                <w:szCs w:val="26"/>
                <w:shd w:val="clear" w:color="auto" w:fill="FFFFFF"/>
              </w:rPr>
              <w:t xml:space="preserve"> G3D Mark</w:t>
            </w:r>
            <w:r w:rsidRPr="007A44C6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4077" w:type="dxa"/>
          </w:tcPr>
          <w:p w:rsidR="00AB2DAC" w:rsidRDefault="00AB2DAC" w:rsidP="000A2964">
            <w:r w:rsidRPr="00D8689E">
              <w:rPr>
                <w:rFonts w:ascii="Arial" w:hAnsi="Arial" w:cs="Arial"/>
                <w:color w:val="000000"/>
                <w:sz w:val="20"/>
              </w:rPr>
              <w:t xml:space="preserve">Oferowana karta graficzna musi </w:t>
            </w:r>
            <w:r>
              <w:rPr>
                <w:rFonts w:ascii="Arial" w:hAnsi="Arial" w:cs="Arial"/>
                <w:color w:val="000000"/>
                <w:sz w:val="20"/>
              </w:rPr>
              <w:t>posiadać min 2GB własnej pamięci. Zainstalowana fabrycznie przez producenta sprzętu oraz objęta gwarancją komputera</w:t>
            </w:r>
          </w:p>
        </w:tc>
      </w:tr>
      <w:tr w:rsidR="00AB2DAC" w:rsidTr="00144F11">
        <w:tc>
          <w:tcPr>
            <w:tcW w:w="1668" w:type="dxa"/>
          </w:tcPr>
          <w:p w:rsidR="00AB2DAC" w:rsidRPr="007A44C6" w:rsidRDefault="00AB2DAC" w:rsidP="000A2964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7A44C6">
              <w:rPr>
                <w:rFonts w:ascii="Arial" w:hAnsi="Arial" w:cs="Arial"/>
                <w:b/>
                <w:bCs/>
                <w:sz w:val="20"/>
              </w:rPr>
              <w:t>Obudowa</w:t>
            </w:r>
          </w:p>
        </w:tc>
        <w:tc>
          <w:tcPr>
            <w:tcW w:w="3543" w:type="dxa"/>
          </w:tcPr>
          <w:p w:rsidR="00AB2DAC" w:rsidRDefault="00AB2DAC" w:rsidP="000A2964">
            <w:r w:rsidRPr="007A44C6">
              <w:rPr>
                <w:rFonts w:ascii="Arial" w:hAnsi="Arial" w:cs="Arial"/>
                <w:bCs/>
                <w:color w:val="000000"/>
                <w:sz w:val="20"/>
              </w:rPr>
              <w:t xml:space="preserve">Obudowa musi umożliwiać zastosowanie zabezpieczenia fizycznego w postaci linki metalowej (złącze blokady </w:t>
            </w:r>
            <w:proofErr w:type="spellStart"/>
            <w:r w:rsidRPr="007A44C6">
              <w:rPr>
                <w:rFonts w:ascii="Arial" w:hAnsi="Arial" w:cs="Arial"/>
                <w:bCs/>
                <w:color w:val="000000"/>
                <w:sz w:val="20"/>
              </w:rPr>
              <w:t>Kensingtona</w:t>
            </w:r>
            <w:proofErr w:type="spellEnd"/>
            <w:r w:rsidRPr="007A44C6">
              <w:rPr>
                <w:rFonts w:ascii="Arial" w:hAnsi="Arial" w:cs="Arial"/>
                <w:bCs/>
                <w:color w:val="000000"/>
                <w:sz w:val="20"/>
              </w:rPr>
              <w:t>) lub kłódki (oczko w obudowie do założenia kłódki).</w:t>
            </w:r>
          </w:p>
        </w:tc>
        <w:tc>
          <w:tcPr>
            <w:tcW w:w="4077" w:type="dxa"/>
          </w:tcPr>
          <w:p w:rsidR="00AB2DAC" w:rsidRPr="00D8689E" w:rsidRDefault="00AB2DAC" w:rsidP="006719AB">
            <w:pPr>
              <w:rPr>
                <w:rFonts w:ascii="Arial" w:hAnsi="Arial" w:cs="Arial"/>
                <w:bCs/>
                <w:color w:val="000000"/>
                <w:sz w:val="20"/>
              </w:rPr>
            </w:pPr>
            <w:r w:rsidRPr="007A44C6">
              <w:rPr>
                <w:rFonts w:ascii="Arial" w:hAnsi="Arial" w:cs="Arial"/>
                <w:bCs/>
                <w:color w:val="000000"/>
                <w:sz w:val="20"/>
              </w:rPr>
              <w:t xml:space="preserve">Obudowa </w:t>
            </w:r>
            <w:r w:rsidRPr="00D8689E">
              <w:rPr>
                <w:rFonts w:ascii="Arial" w:hAnsi="Arial" w:cs="Arial"/>
                <w:bCs/>
                <w:color w:val="000000"/>
                <w:sz w:val="20"/>
              </w:rPr>
              <w:t>Typu Mini Tower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D8689E">
              <w:rPr>
                <w:rFonts w:ascii="Arial" w:hAnsi="Arial" w:cs="Arial"/>
                <w:bCs/>
                <w:color w:val="000000"/>
                <w:sz w:val="20"/>
              </w:rPr>
              <w:t>z obsługą kart PCI Express tylko o pełnym profilu, wyposażona w min. 1 kieszeń wewnętrzną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t xml:space="preserve"> dedykowaną dla dysku twardego. M</w:t>
            </w:r>
            <w:r w:rsidRPr="007A44C6">
              <w:rPr>
                <w:rFonts w:ascii="Arial" w:hAnsi="Arial" w:cs="Arial"/>
                <w:bCs/>
                <w:color w:val="000000"/>
                <w:sz w:val="20"/>
              </w:rPr>
              <w:t xml:space="preserve">usi umożliwiać zastosowanie zabezpieczenia fizycznego w postaci linki metalowej (złącze blokady </w:t>
            </w:r>
            <w:proofErr w:type="spellStart"/>
            <w:r w:rsidRPr="007A44C6">
              <w:rPr>
                <w:rFonts w:ascii="Arial" w:hAnsi="Arial" w:cs="Arial"/>
                <w:bCs/>
                <w:color w:val="000000"/>
                <w:sz w:val="20"/>
              </w:rPr>
              <w:t>Kensingtona</w:t>
            </w:r>
            <w:proofErr w:type="spellEnd"/>
            <w:r w:rsidRPr="007A44C6">
              <w:rPr>
                <w:rFonts w:ascii="Arial" w:hAnsi="Arial" w:cs="Arial"/>
                <w:bCs/>
                <w:color w:val="000000"/>
                <w:sz w:val="20"/>
              </w:rPr>
              <w:t>) lub kłódki (oczko w obudowie do założenia kłódki).</w:t>
            </w:r>
            <w:r w:rsidRPr="00D8689E">
              <w:rPr>
                <w:rFonts w:ascii="Arial" w:hAnsi="Arial" w:cs="Arial"/>
                <w:bCs/>
                <w:color w:val="000000"/>
                <w:sz w:val="20"/>
              </w:rPr>
              <w:t xml:space="preserve"> Napęd optyczny w dedy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t xml:space="preserve">kowanej wnęce zewnętrznej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0"/>
              </w:rPr>
              <w:t>slim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0"/>
              </w:rPr>
              <w:t xml:space="preserve">. </w:t>
            </w:r>
            <w:r w:rsidRPr="00D8689E">
              <w:rPr>
                <w:rFonts w:ascii="Arial" w:hAnsi="Arial" w:cs="Arial"/>
                <w:bCs/>
                <w:color w:val="000000"/>
                <w:sz w:val="20"/>
              </w:rPr>
              <w:t>Obudowa powinna fabrycznie umożliwiać montaż min 1 szt. dysku 2,5” lub dysku 3,5”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t>.</w:t>
            </w:r>
          </w:p>
          <w:p w:rsidR="00AB2DAC" w:rsidRDefault="00AB2DAC" w:rsidP="00CD57BC">
            <w:pPr>
              <w:jc w:val="both"/>
            </w:pPr>
            <w:r w:rsidRPr="00D8689E">
              <w:rPr>
                <w:rFonts w:ascii="Arial" w:hAnsi="Arial" w:cs="Arial"/>
                <w:bCs/>
                <w:color w:val="000000"/>
                <w:sz w:val="20"/>
              </w:rPr>
              <w:t xml:space="preserve">Obudowa fabrycznie przystosowana do pracy w orientacji pionowej i poziomej. </w:t>
            </w:r>
          </w:p>
        </w:tc>
      </w:tr>
      <w:tr w:rsidR="00AB2DAC" w:rsidTr="00144F11">
        <w:tc>
          <w:tcPr>
            <w:tcW w:w="1668" w:type="dxa"/>
          </w:tcPr>
          <w:p w:rsidR="00AB2DAC" w:rsidRDefault="00AB2DAC" w:rsidP="000A2964">
            <w:r w:rsidRPr="007A44C6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 xml:space="preserve">Certyfikaty </w:t>
            </w:r>
            <w:r w:rsidRPr="007A44C6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br/>
              <w:t>i standardy</w:t>
            </w:r>
          </w:p>
        </w:tc>
        <w:tc>
          <w:tcPr>
            <w:tcW w:w="3543" w:type="dxa"/>
          </w:tcPr>
          <w:p w:rsidR="00AB2DAC" w:rsidRDefault="00AB2DAC" w:rsidP="000A2964">
            <w:r w:rsidRPr="007A44C6">
              <w:rPr>
                <w:rFonts w:ascii="Arial" w:hAnsi="Arial" w:cs="Arial"/>
                <w:bCs/>
                <w:color w:val="000000" w:themeColor="text1"/>
                <w:sz w:val="20"/>
              </w:rPr>
              <w:t>Certyfikat ISO 9001:2000 dla producenta sprzętu.</w:t>
            </w:r>
          </w:p>
        </w:tc>
        <w:tc>
          <w:tcPr>
            <w:tcW w:w="4077" w:type="dxa"/>
          </w:tcPr>
          <w:p w:rsidR="00AB2DAC" w:rsidRPr="00D8689E" w:rsidRDefault="00AB2DAC" w:rsidP="00B2268E">
            <w:pPr>
              <w:numPr>
                <w:ilvl w:val="0"/>
                <w:numId w:val="2"/>
              </w:numPr>
              <w:ind w:left="318" w:hanging="284"/>
              <w:rPr>
                <w:rFonts w:ascii="Arial" w:hAnsi="Arial" w:cs="Arial"/>
                <w:bCs/>
                <w:color w:val="000000"/>
                <w:sz w:val="20"/>
              </w:rPr>
            </w:pPr>
            <w:r w:rsidRPr="00D8689E">
              <w:rPr>
                <w:rFonts w:ascii="Arial" w:hAnsi="Arial" w:cs="Arial"/>
                <w:bCs/>
                <w:color w:val="000000"/>
                <w:sz w:val="20"/>
              </w:rPr>
              <w:t>Certyfikat ISO9001</w:t>
            </w:r>
            <w:r w:rsidR="00CD57BC">
              <w:rPr>
                <w:rFonts w:ascii="Arial" w:hAnsi="Arial" w:cs="Arial"/>
                <w:bCs/>
                <w:color w:val="000000"/>
                <w:sz w:val="20"/>
              </w:rPr>
              <w:t>, ISO14001</w:t>
            </w:r>
            <w:r w:rsidRPr="00D8689E">
              <w:rPr>
                <w:rFonts w:ascii="Arial" w:hAnsi="Arial" w:cs="Arial"/>
                <w:bCs/>
                <w:color w:val="000000"/>
                <w:sz w:val="20"/>
              </w:rPr>
              <w:t xml:space="preserve"> dla producenta sprzętu (załączyć dokument potwierdzający spełnianie wymogu)</w:t>
            </w:r>
          </w:p>
          <w:p w:rsidR="00AB2DAC" w:rsidRPr="00D62431" w:rsidRDefault="00AB2DAC" w:rsidP="00B2268E">
            <w:pPr>
              <w:numPr>
                <w:ilvl w:val="0"/>
                <w:numId w:val="2"/>
              </w:numPr>
              <w:ind w:left="318" w:hanging="284"/>
              <w:rPr>
                <w:rFonts w:ascii="Arial" w:hAnsi="Arial" w:cs="Arial"/>
                <w:bCs/>
                <w:color w:val="000000"/>
              </w:rPr>
            </w:pPr>
            <w:r w:rsidRPr="00D8689E">
              <w:rPr>
                <w:rFonts w:ascii="Arial" w:hAnsi="Arial" w:cs="Arial"/>
                <w:bCs/>
                <w:color w:val="000000"/>
                <w:sz w:val="20"/>
              </w:rPr>
              <w:t>Komputer musi spełn</w:t>
            </w:r>
            <w:r w:rsidR="00CD57BC">
              <w:rPr>
                <w:rFonts w:ascii="Arial" w:hAnsi="Arial" w:cs="Arial"/>
                <w:bCs/>
                <w:color w:val="000000"/>
                <w:sz w:val="20"/>
              </w:rPr>
              <w:t xml:space="preserve">iać wymogi normy Energy Star 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</w:p>
          <w:p w:rsidR="00AB2DAC" w:rsidRDefault="00AB2DAC" w:rsidP="006719AB">
            <w:pPr>
              <w:ind w:left="720"/>
              <w:rPr>
                <w:rFonts w:ascii="Arial" w:hAnsi="Arial" w:cs="Arial"/>
                <w:bCs/>
                <w:color w:val="000000"/>
                <w:sz w:val="20"/>
              </w:rPr>
            </w:pPr>
          </w:p>
          <w:p w:rsidR="00AB2DAC" w:rsidRDefault="00AB2DAC" w:rsidP="006719AB">
            <w:pPr>
              <w:rPr>
                <w:rFonts w:ascii="Arial" w:hAnsi="Arial" w:cs="Arial"/>
                <w:bCs/>
                <w:color w:val="000000"/>
                <w:sz w:val="20"/>
              </w:rPr>
            </w:pPr>
            <w:r w:rsidRPr="00D8689E">
              <w:rPr>
                <w:rFonts w:ascii="Arial" w:hAnsi="Arial" w:cs="Arial"/>
                <w:bCs/>
                <w:color w:val="000000"/>
                <w:sz w:val="20"/>
              </w:rPr>
              <w:t xml:space="preserve">Wymagany wpis dotyczący oferowanego komputera w  internetowym </w:t>
            </w:r>
          </w:p>
          <w:p w:rsidR="00AB2DAC" w:rsidRDefault="00AB2DAC" w:rsidP="006719AB">
            <w:r w:rsidRPr="00451DE8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katalogu </w:t>
            </w:r>
            <w:hyperlink r:id="rId9" w:history="1">
              <w:r w:rsidRPr="00451DE8">
                <w:rPr>
                  <w:rStyle w:val="Hipercze"/>
                  <w:rFonts w:ascii="Arial" w:hAnsi="Arial" w:cs="Arial"/>
                  <w:bCs/>
                  <w:color w:val="000000"/>
                  <w:sz w:val="20"/>
                </w:rPr>
                <w:t>http://www.eu-energystar.org</w:t>
              </w:r>
            </w:hyperlink>
            <w:r w:rsidRPr="00451DE8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lub </w:t>
            </w:r>
            <w:hyperlink r:id="rId10" w:history="1">
              <w:r w:rsidRPr="00451DE8">
                <w:rPr>
                  <w:rStyle w:val="Hipercze"/>
                  <w:rFonts w:ascii="Arial" w:hAnsi="Arial" w:cs="Arial"/>
                  <w:bCs/>
                  <w:color w:val="000000"/>
                  <w:sz w:val="20"/>
                </w:rPr>
                <w:t>http://www.energystar.gov</w:t>
              </w:r>
            </w:hyperlink>
            <w:r w:rsidRPr="00451DE8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– dopuszcza się wydruk ze strony internetowej</w:t>
            </w:r>
          </w:p>
        </w:tc>
      </w:tr>
      <w:tr w:rsidR="00AB2DAC" w:rsidTr="00144F11">
        <w:tc>
          <w:tcPr>
            <w:tcW w:w="1668" w:type="dxa"/>
          </w:tcPr>
          <w:p w:rsidR="00AB2DAC" w:rsidRDefault="00AB2DAC" w:rsidP="000A2964">
            <w:r w:rsidRPr="007A44C6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Ergonomia</w:t>
            </w:r>
          </w:p>
        </w:tc>
        <w:tc>
          <w:tcPr>
            <w:tcW w:w="3543" w:type="dxa"/>
          </w:tcPr>
          <w:p w:rsidR="00AB2DAC" w:rsidRDefault="00AB2DAC" w:rsidP="000A2964">
            <w:r w:rsidRPr="007A44C6">
              <w:rPr>
                <w:rFonts w:ascii="Arial" w:hAnsi="Arial" w:cs="Arial"/>
                <w:bCs/>
                <w:color w:val="000000" w:themeColor="text1"/>
                <w:sz w:val="20"/>
              </w:rPr>
              <w:t xml:space="preserve">Głośność jednostki centralnej mierzona zgodnie z normą ISO 7779 oraz wykazana zgodnie z normą ISO 9296 w pozycji operatora w trybie pracy dysku twardego (WORK) wynosząca maksymalnie 30 </w:t>
            </w:r>
            <w:proofErr w:type="spellStart"/>
            <w:r w:rsidRPr="007A44C6">
              <w:rPr>
                <w:rFonts w:ascii="Arial" w:hAnsi="Arial" w:cs="Arial"/>
                <w:bCs/>
                <w:color w:val="000000" w:themeColor="text1"/>
                <w:sz w:val="20"/>
              </w:rPr>
              <w:t>dB</w:t>
            </w:r>
            <w:proofErr w:type="spellEnd"/>
            <w:r w:rsidRPr="007A44C6">
              <w:rPr>
                <w:rFonts w:ascii="Arial" w:hAnsi="Arial" w:cs="Arial"/>
                <w:bCs/>
                <w:color w:val="000000" w:themeColor="text1"/>
                <w:sz w:val="20"/>
              </w:rPr>
              <w:t>.</w:t>
            </w:r>
          </w:p>
        </w:tc>
        <w:tc>
          <w:tcPr>
            <w:tcW w:w="4077" w:type="dxa"/>
          </w:tcPr>
          <w:p w:rsidR="00AB2DAC" w:rsidRDefault="00AB2DAC" w:rsidP="006719AB">
            <w:r w:rsidRPr="00D8689E">
              <w:rPr>
                <w:rFonts w:ascii="Arial" w:hAnsi="Arial" w:cs="Arial"/>
                <w:bCs/>
                <w:color w:val="000000"/>
                <w:sz w:val="20"/>
              </w:rPr>
              <w:t>Głośność jednostki centralnej mierzona zgodnie z normą ISO 7779 oraz wykazana zgodnie z normą ISO 9296 w pozycji obserwatora w trybie pracy dysku twardego</w:t>
            </w:r>
            <w:r w:rsidR="00CD57BC">
              <w:rPr>
                <w:rFonts w:ascii="Arial" w:hAnsi="Arial" w:cs="Arial"/>
                <w:bCs/>
                <w:color w:val="000000"/>
                <w:sz w:val="20"/>
              </w:rPr>
              <w:t xml:space="preserve"> (IDLE) wynosząca maksymalnie 25</w:t>
            </w:r>
            <w:r w:rsidRPr="00D8689E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proofErr w:type="spellStart"/>
            <w:r w:rsidRPr="00D8689E">
              <w:rPr>
                <w:rFonts w:ascii="Arial" w:hAnsi="Arial" w:cs="Arial"/>
                <w:bCs/>
                <w:color w:val="000000"/>
                <w:sz w:val="20"/>
              </w:rPr>
              <w:t>dB</w:t>
            </w:r>
            <w:proofErr w:type="spellEnd"/>
            <w:r w:rsidRPr="00D8689E">
              <w:rPr>
                <w:rFonts w:ascii="Arial" w:hAnsi="Arial" w:cs="Arial"/>
                <w:bCs/>
                <w:color w:val="000000"/>
                <w:sz w:val="20"/>
              </w:rPr>
              <w:t xml:space="preserve"> (załączyć oświadczenie producenta wraz z raportem badawczym wystawionym przez niezależną  akredytowaną jednostkę)</w:t>
            </w:r>
          </w:p>
        </w:tc>
      </w:tr>
      <w:tr w:rsidR="00AB2DAC" w:rsidTr="00144F11">
        <w:tc>
          <w:tcPr>
            <w:tcW w:w="1668" w:type="dxa"/>
          </w:tcPr>
          <w:p w:rsidR="00AB2DAC" w:rsidRPr="007A44C6" w:rsidRDefault="00AB2DAC" w:rsidP="000A2964">
            <w:pPr>
              <w:rPr>
                <w:rFonts w:ascii="Arial" w:hAnsi="Arial" w:cs="Arial"/>
                <w:b/>
                <w:bCs/>
                <w:sz w:val="20"/>
              </w:rPr>
            </w:pPr>
            <w:r w:rsidRPr="007A44C6">
              <w:rPr>
                <w:rFonts w:ascii="Arial" w:hAnsi="Arial" w:cs="Arial"/>
                <w:b/>
                <w:bCs/>
                <w:sz w:val="20"/>
              </w:rPr>
              <w:t>Funkcje BIOS</w:t>
            </w:r>
          </w:p>
        </w:tc>
        <w:tc>
          <w:tcPr>
            <w:tcW w:w="3543" w:type="dxa"/>
          </w:tcPr>
          <w:p w:rsidR="00AB2DAC" w:rsidRDefault="00AB2DAC" w:rsidP="000A2964">
            <w:r w:rsidRPr="007A44C6">
              <w:rPr>
                <w:rFonts w:ascii="Arial" w:hAnsi="Arial" w:cs="Arial"/>
                <w:bCs/>
                <w:color w:val="000000"/>
                <w:sz w:val="20"/>
              </w:rPr>
              <w:t>Musi posiadać możliwość ustawienia hasłem administratora</w:t>
            </w:r>
          </w:p>
        </w:tc>
        <w:tc>
          <w:tcPr>
            <w:tcW w:w="4077" w:type="dxa"/>
          </w:tcPr>
          <w:p w:rsidR="00AB2DAC" w:rsidRDefault="00AB2DAC" w:rsidP="006719AB">
            <w:r w:rsidRPr="00D8689E">
              <w:rPr>
                <w:rFonts w:ascii="Arial" w:hAnsi="Arial" w:cs="Arial"/>
                <w:bCs/>
                <w:color w:val="000000"/>
                <w:sz w:val="20"/>
              </w:rPr>
              <w:t>BIOS zgodny ze specyfikacją UEFI, wyprodukowany przez producenta komputera, zawierający logo producenta komputera lub nazwę producenta komputera lub nazwę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t xml:space="preserve"> modelu oferowanego komputera, </w:t>
            </w:r>
            <w:r w:rsidRPr="00D8689E">
              <w:rPr>
                <w:rFonts w:ascii="Arial" w:hAnsi="Arial" w:cs="Arial"/>
                <w:bCs/>
                <w:color w:val="000000"/>
                <w:sz w:val="20"/>
              </w:rPr>
              <w:t>Pełna obsługa BIO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t>S za pomocą klawiatury i myszy</w:t>
            </w:r>
          </w:p>
        </w:tc>
      </w:tr>
    </w:tbl>
    <w:p w:rsidR="00C90A47" w:rsidRDefault="00C90A47" w:rsidP="00C90A47">
      <w:pPr>
        <w:spacing w:after="0" w:line="240" w:lineRule="auto"/>
        <w:rPr>
          <w:rFonts w:ascii="Arial" w:hAnsi="Arial" w:cs="Arial"/>
        </w:rPr>
      </w:pPr>
    </w:p>
    <w:p w:rsidR="00C90A47" w:rsidRPr="00C90A47" w:rsidRDefault="00C90A47" w:rsidP="00CF3C82">
      <w:pPr>
        <w:spacing w:after="0" w:line="360" w:lineRule="auto"/>
        <w:ind w:left="-284"/>
        <w:jc w:val="both"/>
        <w:rPr>
          <w:rFonts w:ascii="Arial" w:hAnsi="Arial" w:cs="Arial"/>
          <w:b/>
          <w:sz w:val="20"/>
          <w:szCs w:val="20"/>
        </w:rPr>
      </w:pPr>
      <w:r w:rsidRPr="00C90A47">
        <w:rPr>
          <w:rFonts w:ascii="Arial" w:hAnsi="Arial" w:cs="Arial"/>
          <w:b/>
          <w:sz w:val="20"/>
          <w:szCs w:val="20"/>
        </w:rPr>
        <w:t>Nazwa i kod według Wspólnego Słownika Zamówień (CPV):</w:t>
      </w:r>
      <w:r w:rsidRPr="00C90A47">
        <w:rPr>
          <w:rFonts w:ascii="Arial" w:hAnsi="Arial" w:cs="Arial"/>
          <w:b/>
          <w:sz w:val="20"/>
          <w:szCs w:val="20"/>
        </w:rPr>
        <w:t xml:space="preserve"> </w:t>
      </w:r>
      <w:r w:rsidRPr="00C90A47">
        <w:rPr>
          <w:rFonts w:ascii="Arial" w:hAnsi="Arial" w:cs="Arial"/>
          <w:b/>
          <w:sz w:val="20"/>
          <w:szCs w:val="20"/>
        </w:rPr>
        <w:t>30200000-1 urządzenia</w:t>
      </w:r>
      <w:r w:rsidRPr="00C90A47">
        <w:rPr>
          <w:rFonts w:ascii="Arial" w:hAnsi="Arial" w:cs="Arial"/>
          <w:b/>
          <w:sz w:val="20"/>
          <w:szCs w:val="20"/>
        </w:rPr>
        <w:t xml:space="preserve"> k</w:t>
      </w:r>
      <w:r w:rsidRPr="00C90A47">
        <w:rPr>
          <w:rFonts w:ascii="Arial" w:hAnsi="Arial" w:cs="Arial"/>
          <w:b/>
          <w:sz w:val="20"/>
          <w:szCs w:val="20"/>
        </w:rPr>
        <w:t>omputerowe</w:t>
      </w:r>
      <w:r w:rsidRPr="00C90A47">
        <w:rPr>
          <w:rFonts w:ascii="Arial" w:hAnsi="Arial" w:cs="Arial"/>
          <w:b/>
          <w:sz w:val="20"/>
          <w:szCs w:val="20"/>
        </w:rPr>
        <w:t xml:space="preserve">. </w:t>
      </w:r>
    </w:p>
    <w:p w:rsidR="00EF25B8" w:rsidRDefault="00EF25B8" w:rsidP="00CF3C82">
      <w:pPr>
        <w:spacing w:after="0" w:line="360" w:lineRule="auto"/>
        <w:rPr>
          <w:rFonts w:ascii="Arial" w:hAnsi="Arial" w:cs="Arial"/>
        </w:rPr>
      </w:pPr>
      <w:r w:rsidRPr="00EF25B8">
        <w:rPr>
          <w:rFonts w:ascii="Arial" w:hAnsi="Arial" w:cs="Arial"/>
        </w:rPr>
        <w:t>Pozostałe parametry pozostają bez zmian.</w:t>
      </w:r>
    </w:p>
    <w:p w:rsidR="00CD57BC" w:rsidRPr="00EF25B8" w:rsidRDefault="00CD57BC" w:rsidP="00C90A4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związku z wprowadzonymi zmianami termin składania ofert zostaje wydłużony do</w:t>
      </w:r>
      <w:r w:rsidRPr="00CD57BC">
        <w:rPr>
          <w:rFonts w:ascii="Arial" w:hAnsi="Arial" w:cs="Arial"/>
          <w:b/>
        </w:rPr>
        <w:t xml:space="preserve"> </w:t>
      </w:r>
      <w:r w:rsidR="00B2268E">
        <w:rPr>
          <w:rFonts w:ascii="Arial" w:hAnsi="Arial" w:cs="Arial"/>
          <w:b/>
        </w:rPr>
        <w:t xml:space="preserve">                  </w:t>
      </w:r>
      <w:r w:rsidRPr="00CD57BC">
        <w:rPr>
          <w:rFonts w:ascii="Arial" w:hAnsi="Arial" w:cs="Arial"/>
          <w:b/>
        </w:rPr>
        <w:t>24 marca 2017 r.</w:t>
      </w:r>
      <w:bookmarkStart w:id="0" w:name="_GoBack"/>
      <w:bookmarkEnd w:id="0"/>
    </w:p>
    <w:sectPr w:rsidR="00CD57BC" w:rsidRPr="00EF25B8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C80" w:rsidRDefault="00826C80" w:rsidP="0074579B">
      <w:pPr>
        <w:spacing w:after="0" w:line="240" w:lineRule="auto"/>
      </w:pPr>
      <w:r>
        <w:separator/>
      </w:r>
    </w:p>
  </w:endnote>
  <w:endnote w:type="continuationSeparator" w:id="0">
    <w:p w:rsidR="00826C80" w:rsidRDefault="00826C80" w:rsidP="00745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C80" w:rsidRDefault="00826C80" w:rsidP="0074579B">
      <w:pPr>
        <w:spacing w:after="0" w:line="240" w:lineRule="auto"/>
      </w:pPr>
      <w:r>
        <w:separator/>
      </w:r>
    </w:p>
  </w:footnote>
  <w:footnote w:type="continuationSeparator" w:id="0">
    <w:p w:rsidR="00826C80" w:rsidRDefault="00826C80" w:rsidP="00745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79B" w:rsidRPr="0074579B" w:rsidRDefault="0074579B">
    <w:pPr>
      <w:pStyle w:val="Nagwek"/>
      <w:rPr>
        <w:b/>
      </w:rPr>
    </w:pPr>
    <w:r w:rsidRPr="0074579B">
      <w:rPr>
        <w:b/>
      </w:rPr>
      <w:t>Korekta do zapytania ofertowego nr WOF.261.1.25.2017.MP z dnia 10 marca 2017 r.</w:t>
    </w:r>
    <w:r w:rsidR="000A2964"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6381A"/>
    <w:multiLevelType w:val="hybridMultilevel"/>
    <w:tmpl w:val="D6A87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CF073A"/>
    <w:multiLevelType w:val="hybridMultilevel"/>
    <w:tmpl w:val="F0B86A72"/>
    <w:lvl w:ilvl="0" w:tplc="A5065534">
      <w:start w:val="512"/>
      <w:numFmt w:val="bullet"/>
      <w:lvlText w:val="-"/>
      <w:lvlJc w:val="left"/>
      <w:pPr>
        <w:ind w:left="1440" w:hanging="360"/>
      </w:pPr>
      <w:rPr>
        <w:rFonts w:ascii="Tahoma" w:eastAsia="Times New Roman" w:hAnsi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DAC"/>
    <w:rsid w:val="00091F4A"/>
    <w:rsid w:val="000A2964"/>
    <w:rsid w:val="00144F11"/>
    <w:rsid w:val="004309A7"/>
    <w:rsid w:val="005F5FCB"/>
    <w:rsid w:val="006719AB"/>
    <w:rsid w:val="0074579B"/>
    <w:rsid w:val="00826C80"/>
    <w:rsid w:val="00864B37"/>
    <w:rsid w:val="00AB2DAC"/>
    <w:rsid w:val="00B2268E"/>
    <w:rsid w:val="00C400E2"/>
    <w:rsid w:val="00C90A47"/>
    <w:rsid w:val="00CD57BC"/>
    <w:rsid w:val="00CF3C82"/>
    <w:rsid w:val="00EF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2DAC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AB2DAC"/>
    <w:pPr>
      <w:keepNext/>
      <w:spacing w:after="0" w:line="240" w:lineRule="auto"/>
      <w:outlineLvl w:val="0"/>
    </w:pPr>
    <w:rPr>
      <w:rFonts w:ascii="Times New Roman" w:eastAsia="Times New Roman" w:hAnsi="Times New Roman"/>
      <w:i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B2DAC"/>
    <w:rPr>
      <w:rFonts w:ascii="Times New Roman" w:eastAsia="Times New Roman" w:hAnsi="Times New Roman" w:cs="Times New Roman"/>
      <w:i/>
      <w:sz w:val="26"/>
      <w:szCs w:val="20"/>
    </w:rPr>
  </w:style>
  <w:style w:type="table" w:styleId="Tabela-Siatka">
    <w:name w:val="Table Grid"/>
    <w:basedOn w:val="Standardowy"/>
    <w:uiPriority w:val="59"/>
    <w:rsid w:val="00AB2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AB2DA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45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579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45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579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2DAC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AB2DAC"/>
    <w:pPr>
      <w:keepNext/>
      <w:spacing w:after="0" w:line="240" w:lineRule="auto"/>
      <w:outlineLvl w:val="0"/>
    </w:pPr>
    <w:rPr>
      <w:rFonts w:ascii="Times New Roman" w:eastAsia="Times New Roman" w:hAnsi="Times New Roman"/>
      <w:i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B2DAC"/>
    <w:rPr>
      <w:rFonts w:ascii="Times New Roman" w:eastAsia="Times New Roman" w:hAnsi="Times New Roman" w:cs="Times New Roman"/>
      <w:i/>
      <w:sz w:val="26"/>
      <w:szCs w:val="20"/>
    </w:rPr>
  </w:style>
  <w:style w:type="table" w:styleId="Tabela-Siatka">
    <w:name w:val="Table Grid"/>
    <w:basedOn w:val="Standardowy"/>
    <w:uiPriority w:val="59"/>
    <w:rsid w:val="00AB2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AB2DA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45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579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45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579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energystar.gov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u-energystar.or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63511-3C32-4F92-A015-29BD230D1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adminro</dc:creator>
  <cp:lastModifiedBy>Małgorzata MP. Piątkiewicz</cp:lastModifiedBy>
  <cp:revision>2</cp:revision>
  <cp:lastPrinted>2017-03-15T12:26:00Z</cp:lastPrinted>
  <dcterms:created xsi:type="dcterms:W3CDTF">2017-03-15T12:30:00Z</dcterms:created>
  <dcterms:modified xsi:type="dcterms:W3CDTF">2017-03-15T12:30:00Z</dcterms:modified>
</cp:coreProperties>
</file>